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BFC" w:rsidRPr="004A0E7E" w:rsidRDefault="00830BFC" w:rsidP="00830BFC">
      <w:pPr>
        <w:spacing w:before="100" w:after="100"/>
        <w:contextualSpacing/>
        <w:jc w:val="center"/>
        <w:rPr>
          <w:rFonts w:cstheme="minorHAnsi"/>
          <w:b/>
          <w:sz w:val="28"/>
          <w:szCs w:val="28"/>
        </w:rPr>
      </w:pPr>
      <w:bookmarkStart w:id="0" w:name="_GoBack"/>
      <w:bookmarkEnd w:id="0"/>
      <w:r w:rsidRPr="004A0E7E">
        <w:rPr>
          <w:rFonts w:cstheme="minorHAnsi"/>
          <w:b/>
          <w:sz w:val="28"/>
          <w:szCs w:val="28"/>
        </w:rPr>
        <w:t>Аннотация к рабочей программе</w:t>
      </w:r>
    </w:p>
    <w:p w:rsidR="00830BFC" w:rsidRPr="004A0E7E" w:rsidRDefault="00830BFC" w:rsidP="00830BFC">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w:t>
      </w:r>
      <w:r w:rsidR="00826F96" w:rsidRPr="007A40BE">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00826F96" w:rsidRPr="007A40BE">
        <w:rPr>
          <w:rStyle w:val="a9"/>
          <w:rFonts w:ascii="Times New Roman" w:hAnsi="Times New Roman" w:cs="Times New Roman"/>
          <w:sz w:val="26"/>
          <w:szCs w:val="26"/>
        </w:rPr>
        <w:footnoteReference w:id="1"/>
      </w:r>
      <w:r w:rsidR="00826F96" w:rsidRPr="007A40BE">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Pr="007A40BE">
        <w:rPr>
          <w:rFonts w:cstheme="minorHAnsi"/>
          <w:sz w:val="26"/>
          <w:szCs w:val="26"/>
        </w:rPr>
        <w:t xml:space="preserve">В соответствии с ФГОС </w:t>
      </w:r>
      <w:r w:rsidR="00826F96" w:rsidRPr="007A40BE">
        <w:rPr>
          <w:rFonts w:cstheme="minorHAnsi"/>
          <w:sz w:val="26"/>
          <w:szCs w:val="26"/>
        </w:rPr>
        <w:t>С</w:t>
      </w:r>
      <w:r w:rsidRPr="007A40BE">
        <w:rPr>
          <w:rFonts w:cstheme="minorHAnsi"/>
          <w:sz w:val="26"/>
          <w:szCs w:val="26"/>
        </w:rPr>
        <w:t xml:space="preserve">ОО математика является обязательным учебным предметом на уровне </w:t>
      </w:r>
      <w:r w:rsidR="00826F96" w:rsidRPr="007A40BE">
        <w:rPr>
          <w:rFonts w:cstheme="minorHAnsi"/>
          <w:sz w:val="26"/>
          <w:szCs w:val="26"/>
        </w:rPr>
        <w:t>среднего</w:t>
      </w:r>
      <w:r w:rsidRPr="007A40BE">
        <w:rPr>
          <w:rFonts w:cstheme="minorHAnsi"/>
          <w:sz w:val="26"/>
          <w:szCs w:val="26"/>
        </w:rPr>
        <w:t xml:space="preserve"> общего образования. В </w:t>
      </w:r>
      <w:r w:rsidR="00826F96" w:rsidRPr="007A40BE">
        <w:rPr>
          <w:rFonts w:cstheme="minorHAnsi"/>
          <w:sz w:val="26"/>
          <w:szCs w:val="26"/>
        </w:rPr>
        <w:t>10-11</w:t>
      </w:r>
      <w:r w:rsidRPr="007A40BE">
        <w:rPr>
          <w:rFonts w:cstheme="minorHAnsi"/>
          <w:sz w:val="26"/>
          <w:szCs w:val="26"/>
        </w:rPr>
        <w:t xml:space="preserve"> классах математика традиционно изучается в рамках следующих учебных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Данная рабочая программа является частью содержательного раздела основной образовательной программы </w:t>
      </w:r>
      <w:r w:rsidR="00826F96" w:rsidRPr="007A40BE">
        <w:rPr>
          <w:rFonts w:cstheme="minorHAnsi"/>
          <w:sz w:val="26"/>
          <w:szCs w:val="26"/>
        </w:rPr>
        <w:t>среднего</w:t>
      </w:r>
      <w:r w:rsidRPr="007A40BE">
        <w:rPr>
          <w:rFonts w:cstheme="minorHAnsi"/>
          <w:sz w:val="26"/>
          <w:szCs w:val="26"/>
        </w:rPr>
        <w:t xml:space="preserve"> общего образования (далее - ООП </w:t>
      </w:r>
      <w:r w:rsidR="00826F96" w:rsidRPr="007A40BE">
        <w:rPr>
          <w:rFonts w:cstheme="minorHAnsi"/>
          <w:sz w:val="26"/>
          <w:szCs w:val="26"/>
        </w:rPr>
        <w:t>С</w:t>
      </w:r>
      <w:r w:rsidRPr="007A40BE">
        <w:rPr>
          <w:rFonts w:cstheme="minorHAnsi"/>
          <w:sz w:val="26"/>
          <w:szCs w:val="26"/>
        </w:rPr>
        <w:t>ОО).</w:t>
      </w:r>
    </w:p>
    <w:p w:rsidR="00830BFC" w:rsidRPr="007A40BE" w:rsidRDefault="00830BFC" w:rsidP="00830BFC">
      <w:pPr>
        <w:pStyle w:val="a4"/>
        <w:spacing w:before="100" w:after="100"/>
        <w:ind w:firstLine="708"/>
        <w:contextualSpacing/>
        <w:jc w:val="both"/>
        <w:rPr>
          <w:rFonts w:cstheme="minorHAnsi"/>
          <w:color w:val="FF0000"/>
          <w:sz w:val="26"/>
          <w:szCs w:val="26"/>
        </w:rPr>
      </w:pPr>
      <w:r w:rsidRPr="007A40BE">
        <w:rPr>
          <w:rFonts w:cstheme="minorHAnsi"/>
          <w:sz w:val="26"/>
          <w:szCs w:val="26"/>
        </w:rPr>
        <w:t>Рабочая программа разработана группой учителей математики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Рабочая программа учебного предмета "Математика" (базовый уровень) является частью ООП </w:t>
      </w:r>
      <w:r w:rsidR="00826F96" w:rsidRPr="007A40BE">
        <w:rPr>
          <w:rFonts w:cstheme="minorHAnsi"/>
          <w:sz w:val="26"/>
          <w:szCs w:val="26"/>
        </w:rPr>
        <w:t>С</w:t>
      </w:r>
      <w:r w:rsidRPr="007A40BE">
        <w:rPr>
          <w:rFonts w:cstheme="minorHAnsi"/>
          <w:sz w:val="26"/>
          <w:szCs w:val="26"/>
        </w:rPr>
        <w:t>ОО, определяющей:</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планируемые результаты освоения учебного предмета "Математика" (базовый уровень):</w:t>
      </w:r>
    </w:p>
    <w:p w:rsidR="00830BFC" w:rsidRPr="007A40BE" w:rsidRDefault="00830BFC" w:rsidP="00830BFC">
      <w:pPr>
        <w:pStyle w:val="a4"/>
        <w:spacing w:before="100" w:after="100"/>
        <w:contextualSpacing/>
        <w:jc w:val="both"/>
        <w:rPr>
          <w:rFonts w:cstheme="minorHAnsi"/>
          <w:sz w:val="26"/>
          <w:szCs w:val="26"/>
        </w:rPr>
      </w:pPr>
      <w:r w:rsidRPr="007A40BE">
        <w:rPr>
          <w:rFonts w:cstheme="minorHAnsi"/>
          <w:sz w:val="26"/>
          <w:szCs w:val="26"/>
        </w:rPr>
        <w:t xml:space="preserve"> (личностные, </w:t>
      </w:r>
      <w:proofErr w:type="spellStart"/>
      <w:r w:rsidRPr="007A40BE">
        <w:rPr>
          <w:rFonts w:cstheme="minorHAnsi"/>
          <w:sz w:val="26"/>
          <w:szCs w:val="26"/>
        </w:rPr>
        <w:t>метапредметные</w:t>
      </w:r>
      <w:proofErr w:type="spellEnd"/>
      <w:r w:rsidRPr="007A40BE">
        <w:rPr>
          <w:rFonts w:cstheme="minorHAnsi"/>
          <w:sz w:val="26"/>
          <w:szCs w:val="26"/>
        </w:rPr>
        <w:t xml:space="preserve"> и предметные);</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содержание учебного предмета "Математика" (базовый уровень);</w:t>
      </w:r>
    </w:p>
    <w:p w:rsidR="00830BFC" w:rsidRPr="007A40BE" w:rsidRDefault="00830BFC" w:rsidP="00830BFC">
      <w:pPr>
        <w:pStyle w:val="a4"/>
        <w:spacing w:before="100" w:after="100"/>
        <w:ind w:firstLine="708"/>
        <w:contextualSpacing/>
        <w:jc w:val="both"/>
        <w:rPr>
          <w:rFonts w:cstheme="minorHAnsi"/>
          <w:b/>
          <w:bCs/>
          <w:sz w:val="26"/>
          <w:szCs w:val="26"/>
        </w:rPr>
      </w:pPr>
      <w:r w:rsidRPr="007A40BE">
        <w:rPr>
          <w:rFonts w:cstheme="minorHAnsi"/>
          <w:sz w:val="26"/>
          <w:szCs w:val="26"/>
        </w:rPr>
        <w:t xml:space="preserve">-тематическое планирование, в том числе с учетом рабочей программы воспитания </w:t>
      </w:r>
      <w:r w:rsidRPr="007A40BE">
        <w:rPr>
          <w:rFonts w:cstheme="minorHAnsi"/>
          <w:color w:val="000000"/>
          <w:sz w:val="26"/>
          <w:szCs w:val="26"/>
        </w:rPr>
        <w:t xml:space="preserve">с указанием количества академических часов, отводимых на освоение каждой темы учебного </w:t>
      </w:r>
      <w:proofErr w:type="gramStart"/>
      <w:r w:rsidRPr="007A40BE">
        <w:rPr>
          <w:rFonts w:cstheme="minorHAnsi"/>
          <w:color w:val="000000"/>
          <w:sz w:val="26"/>
          <w:szCs w:val="26"/>
        </w:rPr>
        <w:t>предмета</w:t>
      </w:r>
      <w:r w:rsidRPr="007A40BE">
        <w:rPr>
          <w:rFonts w:cstheme="minorHAnsi"/>
          <w:sz w:val="26"/>
          <w:szCs w:val="26"/>
        </w:rPr>
        <w:t xml:space="preserve">  Математика</w:t>
      </w:r>
      <w:proofErr w:type="gramEnd"/>
      <w:r w:rsidRPr="007A40BE">
        <w:rPr>
          <w:rFonts w:cstheme="minorHAnsi"/>
          <w:sz w:val="26"/>
          <w:szCs w:val="26"/>
        </w:rPr>
        <w:t>"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Рабочая программа </w:t>
      </w:r>
      <w:r w:rsidRPr="007A40BE">
        <w:rPr>
          <w:rFonts w:cstheme="minorHAnsi"/>
          <w:b/>
          <w:sz w:val="26"/>
          <w:szCs w:val="26"/>
        </w:rPr>
        <w:t xml:space="preserve">учебного предмета </w:t>
      </w:r>
      <w:proofErr w:type="spellStart"/>
      <w:proofErr w:type="gramStart"/>
      <w:r w:rsidRPr="007A40BE">
        <w:rPr>
          <w:rFonts w:cstheme="minorHAnsi"/>
          <w:color w:val="000000"/>
          <w:sz w:val="26"/>
          <w:szCs w:val="26"/>
        </w:rPr>
        <w:t>предмета</w:t>
      </w:r>
      <w:proofErr w:type="spellEnd"/>
      <w:r w:rsidRPr="007A40BE">
        <w:rPr>
          <w:rFonts w:cstheme="minorHAnsi"/>
          <w:sz w:val="26"/>
          <w:szCs w:val="26"/>
        </w:rPr>
        <w:t xml:space="preserve">  "</w:t>
      </w:r>
      <w:proofErr w:type="gramEnd"/>
      <w:r w:rsidRPr="007A40BE">
        <w:rPr>
          <w:rFonts w:cstheme="minorHAnsi"/>
          <w:sz w:val="26"/>
          <w:szCs w:val="26"/>
        </w:rPr>
        <w:t>Математика" (базовый уровень)</w:t>
      </w:r>
    </w:p>
    <w:p w:rsidR="00830BFC" w:rsidRPr="007A40BE" w:rsidRDefault="00830BFC" w:rsidP="00830BFC">
      <w:pPr>
        <w:pStyle w:val="a4"/>
        <w:spacing w:before="100" w:after="100"/>
        <w:ind w:firstLine="708"/>
        <w:contextualSpacing/>
        <w:jc w:val="both"/>
        <w:rPr>
          <w:rFonts w:cstheme="minorHAnsi"/>
          <w:sz w:val="26"/>
          <w:szCs w:val="26"/>
        </w:rPr>
      </w:pPr>
      <w:r w:rsidRPr="007A40BE">
        <w:rPr>
          <w:rFonts w:cstheme="minorHAnsi"/>
          <w:sz w:val="26"/>
          <w:szCs w:val="26"/>
        </w:rPr>
        <w:t xml:space="preserve">-рассмотрена на методическом совете школы протокол №1 от 25.08.2023г; </w:t>
      </w:r>
    </w:p>
    <w:p w:rsidR="00830BFC" w:rsidRPr="007A40BE" w:rsidRDefault="00830BFC" w:rsidP="00830BFC">
      <w:pPr>
        <w:pStyle w:val="a4"/>
        <w:spacing w:before="100" w:after="100"/>
        <w:ind w:firstLine="708"/>
        <w:contextualSpacing/>
        <w:jc w:val="both"/>
        <w:rPr>
          <w:rFonts w:cstheme="minorHAnsi"/>
          <w:sz w:val="26"/>
          <w:szCs w:val="26"/>
          <w:u w:val="single"/>
        </w:rPr>
      </w:pPr>
      <w:r w:rsidRPr="007A40BE">
        <w:rPr>
          <w:rFonts w:cstheme="minorHAnsi"/>
          <w:sz w:val="26"/>
          <w:szCs w:val="26"/>
        </w:rPr>
        <w:t xml:space="preserve">-согласована с заместителем директора по учебно-воспитательной работе </w:t>
      </w:r>
      <w:r w:rsidRPr="007A40BE">
        <w:rPr>
          <w:rFonts w:cstheme="minorHAnsi"/>
          <w:sz w:val="26"/>
          <w:szCs w:val="26"/>
          <w:u w:val="single"/>
        </w:rPr>
        <w:t>/</w:t>
      </w:r>
      <w:r w:rsidRPr="007A40BE">
        <w:rPr>
          <w:rFonts w:cstheme="minorHAnsi"/>
          <w:sz w:val="26"/>
          <w:szCs w:val="26"/>
        </w:rPr>
        <w:t xml:space="preserve">дата </w:t>
      </w:r>
      <w:r w:rsidRPr="007A40BE">
        <w:rPr>
          <w:rFonts w:cstheme="minorHAnsi"/>
          <w:sz w:val="26"/>
          <w:szCs w:val="26"/>
          <w:u w:val="single"/>
        </w:rPr>
        <w:t>25.08 2023г./;</w:t>
      </w:r>
    </w:p>
    <w:p w:rsidR="00830BFC" w:rsidRDefault="00830BFC" w:rsidP="00830BFC">
      <w:pPr>
        <w:pStyle w:val="a4"/>
        <w:spacing w:before="100" w:after="100"/>
        <w:ind w:firstLine="708"/>
        <w:contextualSpacing/>
        <w:rPr>
          <w:rFonts w:cstheme="minorHAnsi"/>
          <w:sz w:val="26"/>
          <w:szCs w:val="26"/>
        </w:rPr>
      </w:pPr>
      <w:r w:rsidRPr="007A40BE">
        <w:rPr>
          <w:rFonts w:cstheme="minorHAnsi"/>
          <w:b/>
          <w:sz w:val="26"/>
          <w:szCs w:val="26"/>
        </w:rPr>
        <w:t>-</w:t>
      </w:r>
      <w:r w:rsidRPr="007A40BE">
        <w:rPr>
          <w:rFonts w:cstheme="minorHAnsi"/>
          <w:sz w:val="26"/>
          <w:szCs w:val="26"/>
        </w:rPr>
        <w:t xml:space="preserve">принята в составе ООП </w:t>
      </w:r>
      <w:r w:rsidR="00826F96" w:rsidRPr="007A40BE">
        <w:rPr>
          <w:rFonts w:cstheme="minorHAnsi"/>
          <w:sz w:val="26"/>
          <w:szCs w:val="26"/>
        </w:rPr>
        <w:t>С</w:t>
      </w:r>
      <w:r w:rsidRPr="007A40BE">
        <w:rPr>
          <w:rFonts w:cstheme="minorHAnsi"/>
          <w:sz w:val="26"/>
          <w:szCs w:val="26"/>
        </w:rPr>
        <w:t>ОО решением педагогического совета /протокол №1 от 28.09.2023г/</w:t>
      </w:r>
      <w:r w:rsidR="008E23F8">
        <w:rPr>
          <w:rFonts w:cstheme="minorHAnsi"/>
          <w:sz w:val="26"/>
          <w:szCs w:val="26"/>
        </w:rPr>
        <w:t>.</w:t>
      </w:r>
    </w:p>
    <w:p w:rsidR="008E23F8" w:rsidRPr="007A40BE" w:rsidRDefault="008E23F8" w:rsidP="00830BFC">
      <w:pPr>
        <w:pStyle w:val="a4"/>
        <w:spacing w:before="100" w:after="100"/>
        <w:ind w:firstLine="708"/>
        <w:contextualSpacing/>
        <w:rPr>
          <w:rFonts w:cstheme="minorHAnsi"/>
          <w:sz w:val="26"/>
          <w:szCs w:val="26"/>
        </w:rPr>
      </w:pPr>
    </w:p>
    <w:p w:rsidR="003D61C1" w:rsidRPr="00830BFC" w:rsidRDefault="004742D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Р</w:t>
      </w:r>
      <w:r w:rsidR="003D61C1" w:rsidRPr="00830BFC">
        <w:rPr>
          <w:rFonts w:cstheme="minorHAnsi"/>
          <w:b/>
          <w:bCs/>
          <w:sz w:val="28"/>
          <w:szCs w:val="28"/>
        </w:rPr>
        <w:t>абочая программа по учебному предмету</w:t>
      </w:r>
      <w:r w:rsidR="007A40BE">
        <w:rPr>
          <w:rFonts w:cstheme="minorHAnsi"/>
          <w:b/>
          <w:bCs/>
          <w:sz w:val="28"/>
          <w:szCs w:val="28"/>
        </w:rPr>
        <w:t xml:space="preserve"> "Математика" (базовый уровень)</w:t>
      </w:r>
    </w:p>
    <w:p w:rsidR="003D61C1" w:rsidRPr="00830BFC" w:rsidRDefault="003D61C1" w:rsidP="002C7121">
      <w:pPr>
        <w:widowControl w:val="0"/>
        <w:autoSpaceDE w:val="0"/>
        <w:autoSpaceDN w:val="0"/>
        <w:adjustRightInd w:val="0"/>
        <w:spacing w:before="240" w:beforeAutospacing="0" w:afterAutospacing="0"/>
        <w:ind w:firstLine="708"/>
        <w:contextualSpacing/>
        <w:jc w:val="both"/>
        <w:rPr>
          <w:rFonts w:cstheme="minorHAnsi"/>
          <w:sz w:val="28"/>
          <w:szCs w:val="28"/>
        </w:rPr>
      </w:pPr>
      <w:r w:rsidRPr="00830BFC">
        <w:rPr>
          <w:rFonts w:cstheme="minorHAnsi"/>
          <w:sz w:val="28"/>
          <w:szCs w:val="28"/>
        </w:rPr>
        <w:t xml:space="preserve">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w:t>
      </w:r>
      <w:r w:rsidRPr="00830BFC">
        <w:rPr>
          <w:rFonts w:cstheme="minorHAnsi"/>
          <w:sz w:val="28"/>
          <w:szCs w:val="28"/>
        </w:rPr>
        <w:lastRenderedPageBreak/>
        <w:t>пояснительную записку, содержание обучения, планируемые результаты освоения программы по математике</w:t>
      </w:r>
      <w:r w:rsidR="00826F96">
        <w:rPr>
          <w:rFonts w:cstheme="minorHAnsi"/>
          <w:sz w:val="28"/>
          <w:szCs w:val="28"/>
        </w:rPr>
        <w:t>, тематическое планирование.</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003D61C1" w:rsidRPr="00830BFC">
        <w:rPr>
          <w:rFonts w:cstheme="minorHAnsi"/>
          <w:sz w:val="28"/>
          <w:szCs w:val="28"/>
        </w:rPr>
        <w:t>.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rsidR="003D61C1" w:rsidRPr="00830BFC"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003D61C1"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D61C1" w:rsidRDefault="002C712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003D61C1" w:rsidRPr="00830BFC">
        <w:rPr>
          <w:rFonts w:cstheme="minorHAnsi"/>
          <w:sz w:val="28"/>
          <w:szCs w:val="28"/>
        </w:rPr>
        <w:t xml:space="preserve">. Планируемые результаты освоения программы по математике включают личностные, </w:t>
      </w:r>
      <w:proofErr w:type="spellStart"/>
      <w:r w:rsidR="003D61C1" w:rsidRPr="00830BFC">
        <w:rPr>
          <w:rFonts w:cstheme="minorHAnsi"/>
          <w:sz w:val="28"/>
          <w:szCs w:val="28"/>
        </w:rPr>
        <w:t>метапредметные</w:t>
      </w:r>
      <w:proofErr w:type="spellEnd"/>
      <w:r w:rsidR="003D61C1" w:rsidRPr="00830BFC">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2C7121" w:rsidRPr="00A3708B" w:rsidRDefault="002C7121" w:rsidP="00A3708B">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00C54039" w:rsidRPr="00830BFC">
        <w:rPr>
          <w:rFonts w:asciiTheme="minorHAnsi" w:hAnsiTheme="minorHAnsi" w:cstheme="minorHAnsi"/>
        </w:rPr>
        <w:t>"Математика" (базовый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5.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 Программа по математике на уровне среднего общего образования разработана на основе </w:t>
      </w:r>
      <w:hyperlink r:id="rId7" w:history="1">
        <w:r w:rsidRPr="00830BFC">
          <w:rPr>
            <w:rFonts w:cstheme="minorHAnsi"/>
            <w:color w:val="0000FF"/>
            <w:sz w:val="28"/>
            <w:szCs w:val="28"/>
            <w:u w:val="single"/>
          </w:rPr>
          <w:t>ФГОС СОО</w:t>
        </w:r>
      </w:hyperlink>
      <w:r w:rsidRPr="00830BFC">
        <w:rPr>
          <w:rFonts w:cstheme="minorHAnsi"/>
          <w:sz w:val="28"/>
          <w:szCs w:val="28"/>
        </w:rPr>
        <w:t xml:space="preserve"> с учетом </w:t>
      </w:r>
      <w:r w:rsidR="00830BFC">
        <w:rPr>
          <w:rFonts w:cstheme="minorHAnsi"/>
          <w:sz w:val="28"/>
          <w:szCs w:val="28"/>
        </w:rPr>
        <w:t xml:space="preserve">ФОП СОО и </w:t>
      </w:r>
      <w:r w:rsidRPr="00830BFC">
        <w:rPr>
          <w:rFonts w:cstheme="minorHAnsi"/>
          <w:sz w:val="28"/>
          <w:szCs w:val="28"/>
        </w:rPr>
        <w:t>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5.2. 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5.3. Математика - опорный предмет для изучения смежных дисциплин, что делает базовую математическую подготовку необходимой.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5.4. 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w:t>
      </w:r>
      <w:r w:rsidRPr="00830BFC">
        <w:rPr>
          <w:rFonts w:cstheme="minorHAnsi"/>
          <w:sz w:val="28"/>
          <w:szCs w:val="28"/>
        </w:rPr>
        <w:lastRenderedPageBreak/>
        <w:t>в виде таблиц, диаграмм и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5.9. Приоритетными целями обучения математике в 10 - 11 классах на базовом уровне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 xml:space="preserve">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w:t>
      </w:r>
      <w:hyperlink r:id="rId8" w:history="1">
        <w:r w:rsidRPr="00830BFC">
          <w:rPr>
            <w:rFonts w:cstheme="minorHAnsi"/>
            <w:color w:val="0000FF"/>
            <w:sz w:val="28"/>
            <w:szCs w:val="28"/>
            <w:u w:val="single"/>
          </w:rPr>
          <w:t>ФГОС СОО</w:t>
        </w:r>
      </w:hyperlink>
      <w:r w:rsidRPr="00830BFC">
        <w:rPr>
          <w:rFonts w:cstheme="minorHAnsi"/>
          <w:sz w:val="28"/>
          <w:szCs w:val="28"/>
        </w:rPr>
        <w:t xml:space="preserve">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5.11. В соответствии с </w:t>
      </w:r>
      <w:hyperlink r:id="rId9" w:history="1">
        <w:r w:rsidRPr="00830BFC">
          <w:rPr>
            <w:rFonts w:cstheme="minorHAnsi"/>
            <w:color w:val="0000FF"/>
            <w:sz w:val="28"/>
            <w:szCs w:val="28"/>
            <w:u w:val="single"/>
          </w:rPr>
          <w:t>ФГОС СОО</w:t>
        </w:r>
      </w:hyperlink>
      <w:r w:rsidRPr="00830BFC">
        <w:rPr>
          <w:rFonts w:cstheme="minorHAnsi"/>
          <w:sz w:val="28"/>
          <w:szCs w:val="28"/>
        </w:rPr>
        <w:t xml:space="preserve">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5.12. Общее число часов, рекомендованных для изучения математики - 340 часов: в 10 классе - 170 часов (5 часов в неделю), в 11 классе - 170 часов (5 часов в неделю).</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6. Планируемые результаты освоения программы по математике базовый уровень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1) гражданского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2) патриотического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w:t>
      </w:r>
      <w:r w:rsidRPr="00830BFC">
        <w:rPr>
          <w:rFonts w:cstheme="minorHAnsi"/>
          <w:sz w:val="28"/>
          <w:szCs w:val="28"/>
        </w:rPr>
        <w:lastRenderedPageBreak/>
        <w:t>использование этих достижений в других науках, технологиях, сферах экономики;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3) духовно-нравственного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осознание духовных ценностей российского народа, </w:t>
      </w:r>
      <w:proofErr w:type="spellStart"/>
      <w:r w:rsidRPr="00830BFC">
        <w:rPr>
          <w:rFonts w:cstheme="minorHAnsi"/>
          <w:sz w:val="28"/>
          <w:szCs w:val="28"/>
        </w:rPr>
        <w:t>сформированность</w:t>
      </w:r>
      <w:proofErr w:type="spellEnd"/>
      <w:r w:rsidRPr="00830BFC">
        <w:rPr>
          <w:rFonts w:cstheme="minorHAnsi"/>
          <w:sz w:val="28"/>
          <w:szCs w:val="28"/>
        </w:rPr>
        <w:t xml:space="preserve">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4) эстетического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5) физического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 трудового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 экологического воспитания: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 ценности научного познания: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830BFC">
        <w:rPr>
          <w:rFonts w:cstheme="minorHAnsi"/>
          <w:sz w:val="28"/>
          <w:szCs w:val="28"/>
        </w:rPr>
        <w:t>сформированность</w:t>
      </w:r>
      <w:proofErr w:type="spellEnd"/>
      <w:r w:rsidRPr="00830BFC">
        <w:rPr>
          <w:rFonts w:cstheme="minorHAnsi"/>
          <w:sz w:val="28"/>
          <w:szCs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830BFC">
        <w:rPr>
          <w:rFonts w:cstheme="minorHAnsi"/>
          <w:sz w:val="28"/>
          <w:szCs w:val="28"/>
        </w:rPr>
        <w:lastRenderedPageBreak/>
        <w:t>действия, регулятивные универсальные учебные действия, совместная деятельность.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6.2.1. У обучающегося будут сформированы следующие базовые логические действия как часть познавательных универсальных учебных действий: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делать выводы с использованием законов логики, дедуктивных и индуктивных умозаключений, умозаключений по аналогии;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830BFC">
        <w:rPr>
          <w:rFonts w:cstheme="minorHAnsi"/>
          <w:sz w:val="28"/>
          <w:szCs w:val="28"/>
        </w:rPr>
        <w:t>контрпримеры</w:t>
      </w:r>
      <w:proofErr w:type="spellEnd"/>
      <w:r w:rsidRPr="00830BFC">
        <w:rPr>
          <w:rFonts w:cstheme="minorHAnsi"/>
          <w:sz w:val="28"/>
          <w:szCs w:val="28"/>
        </w:rPr>
        <w:t>, обосновывать собственные суждения и выводы;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6.2.3. У обучающегося будут сформированы умения работать с информацией как часть познавательных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выявлять дефициты информации, данных, необходимых для ответа на вопрос и для решения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выбирать информацию из источников различных типов, анализировать, систематизировать и интерпретировать информацию различных видов и форм </w:t>
      </w:r>
      <w:r w:rsidRPr="00830BFC">
        <w:rPr>
          <w:rFonts w:cstheme="minorHAnsi"/>
          <w:sz w:val="28"/>
          <w:szCs w:val="28"/>
        </w:rPr>
        <w:lastRenderedPageBreak/>
        <w:t>представления;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структурировать информацию, представлять ее в различных формах, иллюстрировать графически;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оценивать надежность информации по самостоятельно сформулированным критериям.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6.2.4. У обучающегося будут сформированы умения общения как часть коммуникативных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6.2.5. У обучающегося будут сформированы умения самоорганизации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6.2.6. У обучающегося будут сформированы умения самоконтроля как часть регулятивных универсальных учебных действий: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оценивать соответствие результата цели и условиям, объяснять причины достижения или </w:t>
      </w:r>
      <w:proofErr w:type="spellStart"/>
      <w:r w:rsidRPr="00830BFC">
        <w:rPr>
          <w:rFonts w:cstheme="minorHAnsi"/>
          <w:sz w:val="28"/>
          <w:szCs w:val="28"/>
        </w:rPr>
        <w:t>недостижения</w:t>
      </w:r>
      <w:proofErr w:type="spellEnd"/>
      <w:r w:rsidRPr="00830BFC">
        <w:rPr>
          <w:rFonts w:cstheme="minorHAnsi"/>
          <w:sz w:val="28"/>
          <w:szCs w:val="28"/>
        </w:rPr>
        <w:t xml:space="preserve"> результатов деятельности, находить ошибку, давать оценку приобретенному опыту.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6.2.7. У обучающегося будут сформированы умения совместной деятельности: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w:t>
      </w:r>
      <w:r w:rsidRPr="00830BFC">
        <w:rPr>
          <w:rFonts w:cstheme="minorHAnsi"/>
          <w:sz w:val="28"/>
          <w:szCs w:val="28"/>
        </w:rPr>
        <w:lastRenderedPageBreak/>
        <w:t>нескольких людей;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7. Федеральная рабочая программа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 xml:space="preserve">7.1.4. В основе методики обучения алгебре и началам математического анализа лежит </w:t>
      </w:r>
      <w:proofErr w:type="spellStart"/>
      <w:r w:rsidRPr="00830BFC">
        <w:rPr>
          <w:rFonts w:cstheme="minorHAnsi"/>
          <w:sz w:val="28"/>
          <w:szCs w:val="28"/>
        </w:rPr>
        <w:t>деятельностный</w:t>
      </w:r>
      <w:proofErr w:type="spellEnd"/>
      <w:r w:rsidRPr="00830BFC">
        <w:rPr>
          <w:rFonts w:cstheme="minorHAnsi"/>
          <w:sz w:val="28"/>
          <w:szCs w:val="28"/>
        </w:rPr>
        <w:t xml:space="preserve"> принцип обучения.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w:t>
      </w:r>
      <w:r w:rsidRPr="00830BFC">
        <w:rPr>
          <w:rFonts w:cstheme="minorHAnsi"/>
          <w:sz w:val="28"/>
          <w:szCs w:val="28"/>
        </w:rPr>
        <w:lastRenderedPageBreak/>
        <w:t>свои возможности как языка науки.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w:t>
      </w:r>
      <w:r w:rsidRPr="00830BFC">
        <w:rPr>
          <w:rFonts w:cstheme="minorHAnsi"/>
          <w:sz w:val="28"/>
          <w:szCs w:val="28"/>
        </w:rPr>
        <w:lastRenderedPageBreak/>
        <w:t>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Арифметический корень натуральной степени. Действия с арифметическими корнями натуральной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Синус, косинус и тангенс числового аргумента. Арксинус, арккосинус, арктангенс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Тождества и тождественные преобразования.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тригонометрических выражений. Основные тригонометрические формулы.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Уравнение, корень уравнения. Неравенство, решение неравенства. Метод интервалов.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целых и дробно-рациональных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иррациональных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Решение тригонометрических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способы задания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Область определения и множество значений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 Четные и нечетные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Степенная функция с натуральным и целым показателем. Ее свойства и график. Свойства и график корня n-ой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Тригонометрическая окружность, определение тригонометрических функций числового аргумента.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Последовательности, способы задания последовательностей. Монотонные последовательности.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7.2.5.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Множество, операции над множествами. Диаграммы Эйлера-Венна.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теоретико-множественного аппарата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Натуральные и целые числа. Признаки делимости целых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Степень с рациональным показателем. Свойства степени.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Преобразование выражений, содержащих степени с рациональным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Показательные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Логарифмические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линейных уравнений. Решение прикладных задач с помощью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Системы и совокупности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уравнений, систем и неравенств к решению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Тригонометрические функции, их свойства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Показательная и логарифмическая функции, их свойства и графики. Использование графиков функций для решения уравнений и линейных систем. Использование графиков функций для исследования процессов и зависимостей, которые возникают при решении задач из других учебных предметов и реальной </w:t>
      </w:r>
      <w:r w:rsidRPr="00830BFC">
        <w:rPr>
          <w:rFonts w:cstheme="minorHAnsi"/>
          <w:sz w:val="28"/>
          <w:szCs w:val="28"/>
        </w:rPr>
        <w:lastRenderedPageBreak/>
        <w:t>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7.3.4.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Непрерывные функции. Метод интервалов для решения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Производная функции. Геометрический и физический смысл производной.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Производные элементарных функций. Формулы нахождения производной суммы, произведения и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Первообразная. Таблица первообразных.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Интеграл, его геометрический и физический смысл. Вычисление интеграла 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 Предметные результаты по отдельным темам учебного курса "Алгебра и начала математического анализа".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рациональное и действительное число, обыкновенная и десятичная дробь, проценты;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арифметические операции с рациональными и действительными числами;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приближенные вычисления, используя правила округления, делать прикидку и оценку результата вычислений;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тригонометрических выражений и решать тригонометрические уравнения;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выполнять преобразования целых, рациональных и иррациональных выражений и решать основные типы целых, рациональных и иррациональных </w:t>
      </w:r>
      <w:r w:rsidRPr="00830BFC">
        <w:rPr>
          <w:rFonts w:cstheme="minorHAnsi"/>
          <w:sz w:val="28"/>
          <w:szCs w:val="28"/>
        </w:rPr>
        <w:lastRenderedPageBreak/>
        <w:t>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уравнения и неравенства для решения математических задач и задач из различных областей науки и реальной жизни;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четность и нечетность функции, нули функции, промежутки </w:t>
      </w:r>
      <w:proofErr w:type="spellStart"/>
      <w:r w:rsidRPr="00830BFC">
        <w:rPr>
          <w:rFonts w:cstheme="minorHAnsi"/>
          <w:sz w:val="28"/>
          <w:szCs w:val="28"/>
        </w:rPr>
        <w:t>знакопостоянства</w:t>
      </w:r>
      <w:proofErr w:type="spellEnd"/>
      <w:r w:rsidRPr="00830BFC">
        <w:rPr>
          <w:rFonts w:cstheme="minorHAnsi"/>
          <w:sz w:val="28"/>
          <w:szCs w:val="28"/>
        </w:rPr>
        <w:t>;</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решения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строить и читать графики линейной функции, квадратичной функции, степенной функции с целым показателем;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последовательность, арифметическая и геометрическая прогрессии;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бесконечно убывающая геометрическая прогрессия, сумма бесконечно убывающей геометрической прогрессии; задавать последовательности различными способами;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свойства последовательностей и прогрессий для решения реальных задач прикладного характера.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7.4.1.5. Множества и логика: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определение, теорема, следствие, доказательство.</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 Предметные результаты по отдельным темам учебного курса "Алгебра и начала математического анализа".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7.4.2.1. Числа и вычисления: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степень с рациональным показателем; оперировать понятиями: логарифм числа, десятичные и натуральные логарифмы.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7.4.2.2. Уравнения и неравенства: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свойства степени для преобразования выражений, оперировать понятиями: показательное уравнение и неравенство, решать основные типы </w:t>
      </w:r>
      <w:r w:rsidRPr="00830BFC">
        <w:rPr>
          <w:rFonts w:cstheme="minorHAnsi"/>
          <w:sz w:val="28"/>
          <w:szCs w:val="28"/>
        </w:rPr>
        <w:lastRenderedPageBreak/>
        <w:t>показательных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тригонометрических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система линейных уравнений и ее решение, использовать систему линейных уравнений для решения практических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решения простейших систем и совокупностей рациональных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7.4.2.3. Функции и графики: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на координатной плоскости графики линейных уравнений и использовать их для решения системы линейных уравнений;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графики функций для исследования процессов и зависимостей из других учебных дисциплин.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7.4.2.4. Начала математического анализа: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производные элементарных функций, вычислять производные суммы, произведения, частного функций;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исследования функции на монотонность и экстремумы, применять результаты исследования к построению графиков;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использовать производную для нахождения наилучшего решения в прикладных, в том числе социально-экономических, задачах;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первообразная и интеграл, понимать геометрический и физический смысл интеграла;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первообразные элементарных функций, вычислять интеграл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 формуле Ньютона-Лейбница;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прикладные задачи, в том числе социально-экономического и физического характера, средствами математического анализа.</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8. Федеральная рабочая программа учебного курса "Геометрия".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8.1.1. Важность учебного курса геометрии на уровне среднего общего образования обусловлена практической значимостью </w:t>
      </w:r>
      <w:proofErr w:type="spellStart"/>
      <w:r w:rsidRPr="00830BFC">
        <w:rPr>
          <w:rFonts w:cstheme="minorHAnsi"/>
          <w:sz w:val="28"/>
          <w:szCs w:val="28"/>
        </w:rPr>
        <w:t>метапредметных</w:t>
      </w:r>
      <w:proofErr w:type="spellEnd"/>
      <w:r w:rsidRPr="00830BFC">
        <w:rPr>
          <w:rFonts w:cstheme="minorHAnsi"/>
          <w:sz w:val="28"/>
          <w:szCs w:val="28"/>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8.1.6. Приоритетными задачами освоения учебного курса "Геометрии" на базовом уровне в 10 - 11 классах являются: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геометрии как части мировой культуры и осознание ее взаимосвязи с окружающим миром;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формирование умения распознавать на чертежах, моделях и в реальном </w:t>
      </w:r>
      <w:r w:rsidRPr="00830BFC">
        <w:rPr>
          <w:rFonts w:cstheme="minorHAnsi"/>
          <w:sz w:val="28"/>
          <w:szCs w:val="28"/>
        </w:rPr>
        <w:lastRenderedPageBreak/>
        <w:t>мире многогранники и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методами решения задач на построения на изображениях пространственных фигур;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умения оперировать основными понятиями о многогранниках и телах вращения и их основными свойствами;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w:t>
      </w:r>
      <w:r w:rsidRPr="00830BFC">
        <w:rPr>
          <w:rFonts w:cstheme="minorHAnsi"/>
          <w:sz w:val="28"/>
          <w:szCs w:val="28"/>
        </w:rPr>
        <w:lastRenderedPageBreak/>
        <w:t>общую систему геометрических представлений обучающихся, расширяя и углубляя ее, образуя прочные множественные связи.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8.2.1. Прямые и плоскости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w:t>
      </w:r>
      <w:proofErr w:type="spellStart"/>
      <w:r w:rsidRPr="00830BFC">
        <w:rPr>
          <w:rFonts w:cstheme="minorHAnsi"/>
          <w:sz w:val="28"/>
          <w:szCs w:val="28"/>
        </w:rPr>
        <w:t>сонаправленными</w:t>
      </w:r>
      <w:proofErr w:type="spellEnd"/>
      <w:r w:rsidRPr="00830BFC">
        <w:rPr>
          <w:rFonts w:cstheme="minorHAnsi"/>
          <w:sz w:val="28"/>
          <w:szCs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8.2.2. Многогранники.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Вычисление элементов многогранников: ребра, диагонали, углы. Площадь </w:t>
      </w:r>
      <w:r w:rsidRPr="00830BFC">
        <w:rPr>
          <w:rFonts w:cstheme="minorHAnsi"/>
          <w:sz w:val="28"/>
          <w:szCs w:val="28"/>
        </w:rPr>
        <w:lastRenderedPageBreak/>
        <w:t>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8.3.1. Тела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Изображение тел вращения на плоскости. Развертка цилиндра и конуса.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Комбинации тел вращения и многогранников. Многогранник,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Подобные тела в пространстве. Соотношения между площадями поверхностей,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Сечения цилиндра (параллельно и перпендикулярно оси), сечения конуса (параллельное основанию и проходящее через вершину), сечения шара.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8.3.2. Векторы и координаты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lastRenderedPageBreak/>
        <w:t>8.4.1. Предметные результаты по отдельным темам учебного курса "Геометрия".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точка, прямая, плоскость;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аксиомы стереометрии и следствия из них при решении геометрических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параллельность и перпендикулярность прямых и плоскостей;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взаимное расположение прямых и плоскостей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выпуклый и невыпуклый многогранник, элементы многогранника, правильный многогранник;</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основные виды многогранников (пирамида, призма, прямоугольный параллелепипед, куб);</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секущая плоскость, сечение многогранников; объяснять принципы построения сечений, используя метод следов; строить сечения многогранников методом следов, выполнять (выносные) плоские чертежи из рисунков простых объемных фигур: вид сверху, сбоку, снизу;</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симметрия в пространстве, центр, ось и плоскость симметрии, центр, ось и плоскость симметрии фигуры;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геометрические факты для решения стереометрических задач, </w:t>
      </w:r>
      <w:r w:rsidRPr="00830BFC">
        <w:rPr>
          <w:rFonts w:cstheme="minorHAnsi"/>
          <w:sz w:val="28"/>
          <w:szCs w:val="28"/>
        </w:rPr>
        <w:lastRenderedPageBreak/>
        <w:t>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8.4.2. Предметные результаты по отдельным темам учебного курса "Геометрия".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распознавать тела вращения (цилиндр, конус, сфера и шар); объяснять способы получения тел вращения; классифицировать взаимное расположение сферы и плоскости;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объемы и площади поверхностей тел вращения, геометрических тел с применением формул;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многогранник, вписанный в сферу и описанный около сферы, сфера, вписанная в многогранник или тело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вычислять соотношения между площадями поверхностей и объемами подобных тел;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изображать изучаемые фигуры от руки и с применением простых чертежных инструментов;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(выносные) плоские чертежи из рисунков простых объемных фигур: вид сверху, сбоку, снизу, строить сечения тел вращения;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вектор в пространстве;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выполнять действия сложения векторов, вычитания векторов и умножения вектора на число, объяснять, какими свойствами они обладают; применять правило параллелепипеда;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w:t>
      </w:r>
      <w:r w:rsidRPr="00830BFC">
        <w:rPr>
          <w:rFonts w:cstheme="minorHAnsi"/>
          <w:sz w:val="28"/>
          <w:szCs w:val="28"/>
        </w:rPr>
        <w:lastRenderedPageBreak/>
        <w:t>векторы;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задавать плоскость уравнением в декартовой системе координат;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решать простейшие геометрические задачи на применение </w:t>
      </w:r>
      <w:proofErr w:type="spellStart"/>
      <w:r w:rsidRPr="00830BFC">
        <w:rPr>
          <w:rFonts w:cstheme="minorHAnsi"/>
          <w:sz w:val="28"/>
          <w:szCs w:val="28"/>
        </w:rPr>
        <w:t>векторнокоординатного</w:t>
      </w:r>
      <w:proofErr w:type="spellEnd"/>
      <w:r w:rsidRPr="00830BFC">
        <w:rPr>
          <w:rFonts w:cstheme="minorHAnsi"/>
          <w:sz w:val="28"/>
          <w:szCs w:val="28"/>
        </w:rPr>
        <w:t xml:space="preserve"> метода;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применять простейшие программные средства и </w:t>
      </w:r>
      <w:proofErr w:type="spellStart"/>
      <w:r w:rsidRPr="00830BFC">
        <w:rPr>
          <w:rFonts w:cstheme="minorHAnsi"/>
          <w:sz w:val="28"/>
          <w:szCs w:val="28"/>
        </w:rPr>
        <w:t>электроннокоммуникационные</w:t>
      </w:r>
      <w:proofErr w:type="spellEnd"/>
      <w:r w:rsidRPr="00830BFC">
        <w:rPr>
          <w:rFonts w:cstheme="minorHAnsi"/>
          <w:sz w:val="28"/>
          <w:szCs w:val="28"/>
        </w:rPr>
        <w:t xml:space="preserve"> системы при решении стереометрических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приводить примеры математических закономерностей в природе и жизни, распознавать проявление законов геометрии в искусстве;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b/>
          <w:bCs/>
          <w:sz w:val="28"/>
          <w:szCs w:val="28"/>
        </w:rPr>
      </w:pPr>
      <w:r w:rsidRPr="00830BFC">
        <w:rPr>
          <w:rFonts w:cstheme="minorHAnsi"/>
          <w:b/>
          <w:bCs/>
          <w:sz w:val="28"/>
          <w:szCs w:val="28"/>
        </w:rPr>
        <w:t>9. Федеральная рабочая программа учебного курса "Вероятность и статистика".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 Пояснительная записка.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w:t>
      </w:r>
      <w:r w:rsidRPr="00830BFC">
        <w:rPr>
          <w:rFonts w:cstheme="minorHAnsi"/>
          <w:sz w:val="28"/>
          <w:szCs w:val="28"/>
        </w:rPr>
        <w:lastRenderedPageBreak/>
        <w:t xml:space="preserve">описания антропометрических и демографических величин, погрешностей </w:t>
      </w:r>
      <w:proofErr w:type="gramStart"/>
      <w:r w:rsidRPr="00830BFC">
        <w:rPr>
          <w:rFonts w:cstheme="minorHAnsi"/>
          <w:sz w:val="28"/>
          <w:szCs w:val="28"/>
        </w:rPr>
        <w:t>в различного рода</w:t>
      </w:r>
      <w:proofErr w:type="gramEnd"/>
      <w:r w:rsidRPr="00830BFC">
        <w:rPr>
          <w:rFonts w:cstheme="minorHAnsi"/>
          <w:sz w:val="28"/>
          <w:szCs w:val="28"/>
        </w:rPr>
        <w:t xml:space="preserve"> измерениях, длительности безотказной работы технических устройств, характеристик массовых явлений и процессов в обществе.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9.2. Содержание обучения в 10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Операции над событиями: пересечение, объединение, противоположные события. Диаграммы Эйлера. Формула сложения вероятностей.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Условная вероятность. Умножение вероятностей. Дерево случайного эксперимента. Формула полной вероятности. Независимые события.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Комбинаторное правило умножения. Перестановки и факториал. Число сочетаний. Треугольник Паскаля. Формула бинома Ньютона.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Бинарный случайный опыт (испытание), успех и неудача. Независимые испытания. Серия независимых испытаний до первого успеха. Серия </w:t>
      </w:r>
      <w:r w:rsidRPr="00830BFC">
        <w:rPr>
          <w:rFonts w:cstheme="minorHAnsi"/>
          <w:sz w:val="28"/>
          <w:szCs w:val="28"/>
        </w:rPr>
        <w:lastRenderedPageBreak/>
        <w:t>независимых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Случайная величина. Распределение вероятностей. Диаграмма распределения. Примеры распределений, в том числе, геометрическое и биномиальное.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9.3. Содержание обучения в 11 классе.</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Закон больших чисел и его роль в науке, природе и обществе. Выборочный метод исследований.</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9.4.1. Предметные результаты по отдельным темам учебного курса "Вероятность и статистика". К концу 10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читать и строить таблицы и диаграммы;</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среднее арифметическое, медиана, наибольшее, наименьшее значение, размах массива числовых данных;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применять комбинаторное правило умножения при решении задач; 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 xml:space="preserve">оперировать понятиями: случайная величина, распределение вероятностей, </w:t>
      </w:r>
      <w:r w:rsidRPr="00830BFC">
        <w:rPr>
          <w:rFonts w:cstheme="minorHAnsi"/>
          <w:sz w:val="28"/>
          <w:szCs w:val="28"/>
        </w:rPr>
        <w:lastRenderedPageBreak/>
        <w:t>диаграмма распределения.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9.4.2. Предметные результаты по отдельным темам учебного курса "Вероятность и статистика". К концу 11 класса обучающийся научится:</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сравнивать вероятности значений случайной величины по распределению или с помощью диаграмм;</w:t>
      </w:r>
    </w:p>
    <w:p w:rsidR="003D61C1" w:rsidRPr="00830BFC" w:rsidRDefault="003D61C1" w:rsidP="00830BFC">
      <w:pPr>
        <w:widowControl w:val="0"/>
        <w:autoSpaceDE w:val="0"/>
        <w:autoSpaceDN w:val="0"/>
        <w:adjustRightInd w:val="0"/>
        <w:spacing w:before="240" w:beforeAutospacing="0" w:afterAutospacing="0"/>
        <w:ind w:firstLine="540"/>
        <w:contextualSpacing/>
        <w:jc w:val="both"/>
        <w:rPr>
          <w:rFonts w:cstheme="minorHAnsi"/>
          <w:sz w:val="28"/>
          <w:szCs w:val="28"/>
        </w:rPr>
      </w:pPr>
      <w:r w:rsidRPr="00830BFC">
        <w:rPr>
          <w:rFonts w:cstheme="minorHAnsi"/>
          <w:sz w:val="28"/>
          <w:szCs w:val="28"/>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иметь представление о законе больших чисел; иметь представление о нормальном распределении.</w:t>
      </w:r>
    </w:p>
    <w:p w:rsidR="003D61C1" w:rsidRPr="00830BFC" w:rsidRDefault="003D61C1" w:rsidP="00830BFC">
      <w:pPr>
        <w:widowControl w:val="0"/>
        <w:autoSpaceDE w:val="0"/>
        <w:autoSpaceDN w:val="0"/>
        <w:adjustRightInd w:val="0"/>
        <w:spacing w:beforeAutospacing="0" w:afterAutospacing="0"/>
        <w:ind w:firstLine="540"/>
        <w:contextualSpacing/>
        <w:jc w:val="both"/>
        <w:rPr>
          <w:rFonts w:cstheme="minorHAnsi"/>
          <w:sz w:val="28"/>
          <w:szCs w:val="28"/>
        </w:rPr>
      </w:pPr>
    </w:p>
    <w:p w:rsidR="00593E11" w:rsidRDefault="00593E11" w:rsidP="00593E11">
      <w:pPr>
        <w:ind w:left="120"/>
      </w:pPr>
      <w:bookmarkStart w:id="1" w:name="block-27608546"/>
      <w:r>
        <w:rPr>
          <w:rFonts w:ascii="Times New Roman" w:hAnsi="Times New Roman"/>
          <w:b/>
          <w:color w:val="000000"/>
          <w:sz w:val="28"/>
        </w:rPr>
        <w:t xml:space="preserve">ТЕМАТИЧЕСКОЕ ПЛАНИРОВАНИЕ </w:t>
      </w:r>
    </w:p>
    <w:p w:rsidR="00593E11" w:rsidRDefault="00593E11" w:rsidP="00593E11">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8"/>
        <w:gridCol w:w="3312"/>
        <w:gridCol w:w="793"/>
        <w:gridCol w:w="1503"/>
        <w:gridCol w:w="1557"/>
        <w:gridCol w:w="1885"/>
      </w:tblGrid>
      <w:tr w:rsidR="00593E11" w:rsidTr="008629FA">
        <w:trPr>
          <w:trHeight w:val="144"/>
          <w:tblCellSpacing w:w="20" w:type="nil"/>
        </w:trPr>
        <w:tc>
          <w:tcPr>
            <w:tcW w:w="5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 п/п </w:t>
            </w:r>
          </w:p>
          <w:p w:rsidR="00593E11" w:rsidRDefault="00593E11" w:rsidP="00223FFC">
            <w:pPr>
              <w:ind w:left="135"/>
            </w:pPr>
          </w:p>
        </w:tc>
        <w:tc>
          <w:tcPr>
            <w:tcW w:w="3312"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1885"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79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503"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55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1</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Множества рациональных и действительных чисел. </w:t>
            </w:r>
            <w:r>
              <w:rPr>
                <w:rFonts w:ascii="Times New Roman" w:hAnsi="Times New Roman"/>
                <w:color w:val="000000"/>
                <w:sz w:val="24"/>
              </w:rPr>
              <w:t>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14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094BD9" w:rsidP="00223FFC">
            <w:pPr>
              <w:ind w:left="135"/>
            </w:pPr>
            <w:hyperlink r:id="rId10" w:history="1">
              <w:r w:rsidR="008629FA" w:rsidRPr="00AF53C9">
                <w:rPr>
                  <w:rFonts w:eastAsia="Times New Roman"/>
                  <w:sz w:val="20"/>
                  <w:szCs w:val="20"/>
                </w:rPr>
                <w:t>http://window.edu.ru/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2</w:t>
            </w:r>
          </w:p>
        </w:tc>
        <w:tc>
          <w:tcPr>
            <w:tcW w:w="3312" w:type="dxa"/>
            <w:tcMar>
              <w:top w:w="50" w:type="dxa"/>
              <w:left w:w="100" w:type="dxa"/>
            </w:tcMar>
            <w:vAlign w:val="center"/>
          </w:tcPr>
          <w:p w:rsidR="00593E11" w:rsidRPr="00703F32" w:rsidRDefault="00593E11" w:rsidP="00223FFC">
            <w:pPr>
              <w:ind w:left="135"/>
            </w:pPr>
            <w:r w:rsidRPr="00703F32">
              <w:rPr>
                <w:rFonts w:ascii="Times New Roman" w:hAnsi="Times New Roman"/>
                <w:color w:val="000000"/>
                <w:sz w:val="24"/>
              </w:rPr>
              <w:t>Функции и графики. Степень с целым показателем</w:t>
            </w:r>
          </w:p>
        </w:tc>
        <w:tc>
          <w:tcPr>
            <w:tcW w:w="793" w:type="dxa"/>
            <w:tcMar>
              <w:top w:w="50" w:type="dxa"/>
              <w:left w:w="100" w:type="dxa"/>
            </w:tcMar>
            <w:vAlign w:val="center"/>
          </w:tcPr>
          <w:p w:rsidR="00593E11" w:rsidRDefault="00593E11" w:rsidP="00223FFC">
            <w:pPr>
              <w:ind w:left="135"/>
              <w:jc w:val="center"/>
            </w:pPr>
            <w:r w:rsidRPr="00703F32">
              <w:rPr>
                <w:rFonts w:ascii="Times New Roman" w:hAnsi="Times New Roman"/>
                <w:color w:val="000000"/>
                <w:sz w:val="24"/>
              </w:rPr>
              <w:t xml:space="preserve"> </w:t>
            </w:r>
            <w:r>
              <w:rPr>
                <w:rFonts w:ascii="Times New Roman" w:hAnsi="Times New Roman"/>
                <w:color w:val="000000"/>
                <w:sz w:val="24"/>
              </w:rPr>
              <w:t xml:space="preserve">6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094BD9" w:rsidP="00223FFC">
            <w:pPr>
              <w:ind w:left="135"/>
            </w:pPr>
            <w:hyperlink r:id="rId11" w:history="1">
              <w:r w:rsidR="008629FA" w:rsidRPr="00AF53C9">
                <w:rPr>
                  <w:rFonts w:eastAsia="Times New Roman"/>
                  <w:sz w:val="20"/>
                  <w:szCs w:val="20"/>
                </w:rPr>
                <w:t>https://fipi.ru/</w:t>
              </w:r>
            </w:hyperlink>
            <w:r w:rsidR="00DD5E89">
              <w:rPr>
                <w:rFonts w:eastAsia="Times New Roman"/>
                <w:sz w:val="20"/>
                <w:szCs w:val="20"/>
              </w:rPr>
              <w:t xml:space="preserve"> </w:t>
            </w:r>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3</w:t>
            </w:r>
          </w:p>
        </w:tc>
        <w:tc>
          <w:tcPr>
            <w:tcW w:w="3312" w:type="dxa"/>
            <w:tcMar>
              <w:top w:w="50" w:type="dxa"/>
              <w:left w:w="100" w:type="dxa"/>
            </w:tcMar>
            <w:vAlign w:val="center"/>
          </w:tcPr>
          <w:p w:rsidR="00593E11" w:rsidRDefault="00593E11" w:rsidP="00223FFC">
            <w:pPr>
              <w:ind w:left="135"/>
            </w:pPr>
            <w:r w:rsidRPr="00703F32">
              <w:rPr>
                <w:rFonts w:ascii="Times New Roman" w:hAnsi="Times New Roman"/>
                <w:color w:val="000000"/>
                <w:sz w:val="24"/>
              </w:rPr>
              <w:t xml:space="preserve">Арифметический корень </w:t>
            </w:r>
            <w:r>
              <w:rPr>
                <w:rFonts w:ascii="Times New Roman" w:hAnsi="Times New Roman"/>
                <w:color w:val="000000"/>
                <w:sz w:val="24"/>
              </w:rPr>
              <w:t>n</w:t>
            </w:r>
            <w:r w:rsidRPr="00703F32">
              <w:rPr>
                <w:rFonts w:ascii="Times New Roman" w:hAnsi="Times New Roman"/>
                <w:color w:val="000000"/>
                <w:sz w:val="24"/>
              </w:rPr>
              <w:t xml:space="preserve">–ой степени. </w:t>
            </w:r>
            <w:r>
              <w:rPr>
                <w:rFonts w:ascii="Times New Roman" w:hAnsi="Times New Roman"/>
                <w:color w:val="000000"/>
                <w:sz w:val="24"/>
              </w:rPr>
              <w:t>Иррациональные уравнения и неравенства</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18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094BD9" w:rsidP="00223FFC">
            <w:pPr>
              <w:ind w:left="135"/>
            </w:pPr>
            <w:hyperlink r:id="rId12" w:history="1">
              <w:r w:rsidR="008629FA" w:rsidRPr="00AF53C9">
                <w:rPr>
                  <w:rFonts w:eastAsia="Times New Roman"/>
                  <w:sz w:val="20"/>
                  <w:szCs w:val="20"/>
                </w:rPr>
                <w:t>https://pedsovet.org/</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4</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 xml:space="preserve">Формулы </w:t>
            </w:r>
            <w:proofErr w:type="spellStart"/>
            <w:r>
              <w:rPr>
                <w:rFonts w:ascii="Times New Roman" w:hAnsi="Times New Roman"/>
                <w:color w:val="000000"/>
                <w:sz w:val="24"/>
              </w:rPr>
              <w:t>тригонометрии.Тригонометрические</w:t>
            </w:r>
            <w:proofErr w:type="spellEnd"/>
            <w:r>
              <w:rPr>
                <w:rFonts w:ascii="Times New Roman" w:hAnsi="Times New Roman"/>
                <w:color w:val="000000"/>
                <w:sz w:val="24"/>
              </w:rPr>
              <w:t xml:space="preserve"> уравнения</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22 </w:t>
            </w:r>
          </w:p>
        </w:tc>
        <w:tc>
          <w:tcPr>
            <w:tcW w:w="150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094BD9" w:rsidP="00223FFC">
            <w:pPr>
              <w:ind w:left="135"/>
            </w:pPr>
            <w:hyperlink r:id="rId13" w:history="1">
              <w:r w:rsidR="008629FA" w:rsidRPr="00AF53C9">
                <w:rPr>
                  <w:rFonts w:eastAsia="Times New Roman"/>
                  <w:sz w:val="20"/>
                  <w:szCs w:val="20"/>
                </w:rPr>
                <w:t>https://rsr-olymp.ru/</w:t>
              </w:r>
            </w:hyperlink>
          </w:p>
        </w:tc>
      </w:tr>
      <w:tr w:rsidR="00593E11" w:rsidTr="008629FA">
        <w:trPr>
          <w:trHeight w:val="144"/>
          <w:tblCellSpacing w:w="20" w:type="nil"/>
        </w:trPr>
        <w:tc>
          <w:tcPr>
            <w:tcW w:w="588" w:type="dxa"/>
            <w:tcMar>
              <w:top w:w="50" w:type="dxa"/>
              <w:left w:w="100" w:type="dxa"/>
            </w:tcMar>
            <w:vAlign w:val="center"/>
          </w:tcPr>
          <w:p w:rsidR="00593E11" w:rsidRDefault="00593E11" w:rsidP="00223FFC">
            <w:r>
              <w:rPr>
                <w:rFonts w:ascii="Times New Roman" w:hAnsi="Times New Roman"/>
                <w:color w:val="000000"/>
                <w:sz w:val="24"/>
              </w:rPr>
              <w:t>5</w:t>
            </w:r>
          </w:p>
        </w:tc>
        <w:tc>
          <w:tcPr>
            <w:tcW w:w="3312" w:type="dxa"/>
            <w:tcMar>
              <w:top w:w="50" w:type="dxa"/>
              <w:left w:w="100" w:type="dxa"/>
            </w:tcMar>
            <w:vAlign w:val="center"/>
          </w:tcPr>
          <w:p w:rsidR="00593E11" w:rsidRDefault="00593E11" w:rsidP="00223FFC">
            <w:pPr>
              <w:ind w:left="135"/>
            </w:pPr>
            <w:r>
              <w:rPr>
                <w:rFonts w:ascii="Times New Roman" w:hAnsi="Times New Roman"/>
                <w:color w:val="000000"/>
                <w:sz w:val="24"/>
              </w:rPr>
              <w:t>Последовательности и прогрессии</w:t>
            </w:r>
          </w:p>
        </w:tc>
        <w:tc>
          <w:tcPr>
            <w:tcW w:w="793" w:type="dxa"/>
            <w:tcMar>
              <w:top w:w="50" w:type="dxa"/>
              <w:left w:w="100" w:type="dxa"/>
            </w:tcMar>
            <w:vAlign w:val="center"/>
          </w:tcPr>
          <w:p w:rsidR="00593E11" w:rsidRDefault="00593E11" w:rsidP="00223FFC">
            <w:pPr>
              <w:ind w:left="135"/>
              <w:jc w:val="center"/>
            </w:pPr>
            <w:r>
              <w:rPr>
                <w:rFonts w:ascii="Times New Roman" w:hAnsi="Times New Roman"/>
                <w:color w:val="000000"/>
                <w:sz w:val="24"/>
              </w:rPr>
              <w:t xml:space="preserve"> 5 </w:t>
            </w:r>
          </w:p>
        </w:tc>
        <w:tc>
          <w:tcPr>
            <w:tcW w:w="1503" w:type="dxa"/>
            <w:tcMar>
              <w:top w:w="50" w:type="dxa"/>
              <w:left w:w="100" w:type="dxa"/>
            </w:tcMar>
            <w:vAlign w:val="center"/>
          </w:tcPr>
          <w:p w:rsidR="00593E11" w:rsidRDefault="00593E11" w:rsidP="00223FFC">
            <w:pPr>
              <w:ind w:left="135"/>
              <w:jc w:val="center"/>
            </w:pPr>
          </w:p>
        </w:tc>
        <w:tc>
          <w:tcPr>
            <w:tcW w:w="1557" w:type="dxa"/>
            <w:tcMar>
              <w:top w:w="50" w:type="dxa"/>
              <w:left w:w="100" w:type="dxa"/>
            </w:tcMar>
            <w:vAlign w:val="center"/>
          </w:tcPr>
          <w:p w:rsidR="00593E11" w:rsidRDefault="00593E11" w:rsidP="00223FFC">
            <w:pPr>
              <w:ind w:left="135"/>
              <w:jc w:val="center"/>
            </w:pPr>
          </w:p>
        </w:tc>
        <w:tc>
          <w:tcPr>
            <w:tcW w:w="1885" w:type="dxa"/>
            <w:tcMar>
              <w:top w:w="50" w:type="dxa"/>
              <w:left w:w="100" w:type="dxa"/>
            </w:tcMar>
            <w:vAlign w:val="center"/>
          </w:tcPr>
          <w:p w:rsidR="00593E11" w:rsidRDefault="008629FA" w:rsidP="00223FFC">
            <w:pPr>
              <w:ind w:left="135"/>
            </w:pPr>
            <w:r w:rsidRPr="008629FA">
              <w:t>https://urok.apkpro.ru/</w:t>
            </w:r>
          </w:p>
        </w:tc>
      </w:tr>
      <w:tr w:rsidR="008629FA" w:rsidTr="008629FA">
        <w:trPr>
          <w:trHeight w:val="144"/>
          <w:tblCellSpacing w:w="20" w:type="nil"/>
        </w:trPr>
        <w:tc>
          <w:tcPr>
            <w:tcW w:w="588" w:type="dxa"/>
            <w:tcMar>
              <w:top w:w="50" w:type="dxa"/>
              <w:left w:w="100" w:type="dxa"/>
            </w:tcMar>
            <w:vAlign w:val="center"/>
          </w:tcPr>
          <w:p w:rsidR="008629FA" w:rsidRDefault="008629FA" w:rsidP="008629FA">
            <w:r>
              <w:rPr>
                <w:rFonts w:ascii="Times New Roman" w:hAnsi="Times New Roman"/>
                <w:color w:val="000000"/>
                <w:sz w:val="24"/>
              </w:rPr>
              <w:t>6</w:t>
            </w:r>
          </w:p>
        </w:tc>
        <w:tc>
          <w:tcPr>
            <w:tcW w:w="3312"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3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557" w:type="dxa"/>
            <w:tcMar>
              <w:top w:w="50" w:type="dxa"/>
              <w:left w:w="100" w:type="dxa"/>
            </w:tcMar>
            <w:vAlign w:val="center"/>
          </w:tcPr>
          <w:p w:rsidR="008629FA" w:rsidRDefault="008629FA" w:rsidP="008629FA">
            <w:pPr>
              <w:ind w:left="135"/>
              <w:jc w:val="center"/>
            </w:pPr>
          </w:p>
        </w:tc>
        <w:tc>
          <w:tcPr>
            <w:tcW w:w="1885"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79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68 </w:t>
            </w:r>
          </w:p>
        </w:tc>
        <w:tc>
          <w:tcPr>
            <w:tcW w:w="1503"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4 </w:t>
            </w:r>
          </w:p>
        </w:tc>
        <w:tc>
          <w:tcPr>
            <w:tcW w:w="155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1885"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356"/>
        <w:gridCol w:w="899"/>
        <w:gridCol w:w="1737"/>
        <w:gridCol w:w="1802"/>
        <w:gridCol w:w="2188"/>
      </w:tblGrid>
      <w:tr w:rsidR="00593E11" w:rsidTr="008629FA">
        <w:trPr>
          <w:trHeight w:val="144"/>
          <w:tblCellSpacing w:w="20" w:type="nil"/>
        </w:trPr>
        <w:tc>
          <w:tcPr>
            <w:tcW w:w="6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lastRenderedPageBreak/>
              <w:t xml:space="preserve">№ п/п </w:t>
            </w:r>
          </w:p>
          <w:p w:rsidR="00593E11" w:rsidRDefault="00593E11" w:rsidP="00223FFC">
            <w:pPr>
              <w:ind w:left="135"/>
            </w:pPr>
          </w:p>
        </w:tc>
        <w:tc>
          <w:tcPr>
            <w:tcW w:w="2356"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Наименование разделов и тем программы </w:t>
            </w:r>
          </w:p>
          <w:p w:rsidR="00593E11" w:rsidRDefault="00593E11" w:rsidP="00223FFC">
            <w:pPr>
              <w:ind w:left="135"/>
            </w:pPr>
          </w:p>
        </w:tc>
        <w:tc>
          <w:tcPr>
            <w:tcW w:w="0" w:type="auto"/>
            <w:gridSpan w:val="3"/>
            <w:tcMar>
              <w:top w:w="50" w:type="dxa"/>
              <w:left w:w="100" w:type="dxa"/>
            </w:tcMar>
            <w:vAlign w:val="center"/>
          </w:tcPr>
          <w:p w:rsidR="00593E11" w:rsidRDefault="00593E11" w:rsidP="00223FFC">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593E11" w:rsidRDefault="00593E11" w:rsidP="00223FFC">
            <w:pPr>
              <w:ind w:left="135"/>
            </w:pPr>
            <w:r>
              <w:rPr>
                <w:rFonts w:ascii="Times New Roman" w:hAnsi="Times New Roman"/>
                <w:b/>
                <w:color w:val="000000"/>
                <w:sz w:val="24"/>
              </w:rPr>
              <w:t xml:space="preserve">Электронные (цифровые) образовательные ресурсы </w:t>
            </w:r>
          </w:p>
          <w:p w:rsidR="00593E11" w:rsidRDefault="00593E11" w:rsidP="00223FFC">
            <w:pPr>
              <w:ind w:left="135"/>
            </w:pPr>
          </w:p>
        </w:tc>
      </w:tr>
      <w:tr w:rsidR="00593E11" w:rsidTr="008629FA">
        <w:trPr>
          <w:trHeight w:val="144"/>
          <w:tblCellSpacing w:w="20" w:type="nil"/>
        </w:trPr>
        <w:tc>
          <w:tcPr>
            <w:tcW w:w="0" w:type="auto"/>
            <w:vMerge/>
            <w:tcBorders>
              <w:top w:val="nil"/>
            </w:tcBorders>
            <w:tcMar>
              <w:top w:w="50" w:type="dxa"/>
              <w:left w:w="100" w:type="dxa"/>
            </w:tcMar>
          </w:tcPr>
          <w:p w:rsidR="00593E11" w:rsidRDefault="00593E11" w:rsidP="00223FFC"/>
        </w:tc>
        <w:tc>
          <w:tcPr>
            <w:tcW w:w="0" w:type="auto"/>
            <w:vMerge/>
            <w:tcBorders>
              <w:top w:val="nil"/>
            </w:tcBorders>
            <w:tcMar>
              <w:top w:w="50" w:type="dxa"/>
              <w:left w:w="100" w:type="dxa"/>
            </w:tcMar>
          </w:tcPr>
          <w:p w:rsidR="00593E11" w:rsidRDefault="00593E11" w:rsidP="00223FFC"/>
        </w:tc>
        <w:tc>
          <w:tcPr>
            <w:tcW w:w="899"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Всего </w:t>
            </w:r>
          </w:p>
          <w:p w:rsidR="00593E11" w:rsidRDefault="00593E11" w:rsidP="00223FFC">
            <w:pPr>
              <w:ind w:left="135"/>
            </w:pPr>
          </w:p>
        </w:tc>
        <w:tc>
          <w:tcPr>
            <w:tcW w:w="1737"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Контрольные работы </w:t>
            </w:r>
          </w:p>
          <w:p w:rsidR="00593E11" w:rsidRDefault="00593E11" w:rsidP="00223FFC">
            <w:pPr>
              <w:ind w:left="135"/>
            </w:pPr>
          </w:p>
        </w:tc>
        <w:tc>
          <w:tcPr>
            <w:tcW w:w="1802" w:type="dxa"/>
            <w:tcMar>
              <w:top w:w="50" w:type="dxa"/>
              <w:left w:w="100" w:type="dxa"/>
            </w:tcMar>
            <w:vAlign w:val="center"/>
          </w:tcPr>
          <w:p w:rsidR="00593E11" w:rsidRDefault="00593E11" w:rsidP="00223FFC">
            <w:pPr>
              <w:ind w:left="135"/>
            </w:pPr>
            <w:r>
              <w:rPr>
                <w:rFonts w:ascii="Times New Roman" w:hAnsi="Times New Roman"/>
                <w:b/>
                <w:color w:val="000000"/>
                <w:sz w:val="24"/>
              </w:rPr>
              <w:t xml:space="preserve">Практические работы </w:t>
            </w:r>
          </w:p>
          <w:p w:rsidR="00593E11" w:rsidRDefault="00593E11" w:rsidP="00223FFC">
            <w:pPr>
              <w:ind w:left="135"/>
            </w:pPr>
          </w:p>
        </w:tc>
        <w:tc>
          <w:tcPr>
            <w:tcW w:w="0" w:type="auto"/>
            <w:vMerge/>
            <w:tcBorders>
              <w:top w:val="nil"/>
            </w:tcBorders>
            <w:tcMar>
              <w:top w:w="50" w:type="dxa"/>
              <w:left w:w="100" w:type="dxa"/>
            </w:tcMar>
          </w:tcPr>
          <w:p w:rsidR="00593E11" w:rsidRDefault="00593E11" w:rsidP="00223FFC"/>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1</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Степень с рациональным показателем. Показательная функция. Показательные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2</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Логарифмическая функция. Логарифмические уравнения и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3</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Тригонометрические функции и их графики. Тригонометрические неравенства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094BD9" w:rsidP="008629FA">
            <w:pPr>
              <w:ind w:left="135"/>
            </w:pPr>
            <w:hyperlink r:id="rId14" w:history="1">
              <w:r w:rsidR="008629FA" w:rsidRPr="00AF53C9">
                <w:rPr>
                  <w:rFonts w:eastAsia="Times New Roman"/>
                  <w:sz w:val="20"/>
                  <w:szCs w:val="20"/>
                </w:rPr>
                <w:t>http://window.edu.ru/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4</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Производная. Применение производной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24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094BD9" w:rsidP="008629FA">
            <w:pPr>
              <w:ind w:left="135"/>
            </w:pPr>
            <w:hyperlink r:id="rId15" w:history="1">
              <w:r w:rsidR="008629FA" w:rsidRPr="00AF53C9">
                <w:rPr>
                  <w:rFonts w:eastAsia="Times New Roman"/>
                  <w:sz w:val="20"/>
                  <w:szCs w:val="20"/>
                </w:rPr>
                <w:t>https://fipi.ru/</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5</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Интеграл и его применения</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9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094BD9" w:rsidP="008629FA">
            <w:pPr>
              <w:ind w:left="135"/>
            </w:pPr>
            <w:hyperlink r:id="rId16" w:history="1">
              <w:r w:rsidR="008629FA" w:rsidRPr="00AF53C9">
                <w:rPr>
                  <w:rFonts w:eastAsia="Times New Roman"/>
                  <w:sz w:val="20"/>
                  <w:szCs w:val="20"/>
                </w:rPr>
                <w:t>https://pedsovet.org/</w:t>
              </w:r>
            </w:hyperlink>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6</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Системы уравнений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7</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Натуральные и целые числа</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737" w:type="dxa"/>
            <w:tcMar>
              <w:top w:w="50" w:type="dxa"/>
              <w:left w:w="100" w:type="dxa"/>
            </w:tcMar>
            <w:vAlign w:val="center"/>
          </w:tcPr>
          <w:p w:rsidR="008629FA" w:rsidRDefault="008629FA" w:rsidP="008629FA">
            <w:pPr>
              <w:ind w:left="135"/>
              <w:jc w:val="center"/>
            </w:pP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656" w:type="dxa"/>
            <w:tcMar>
              <w:top w:w="50" w:type="dxa"/>
              <w:left w:w="100" w:type="dxa"/>
            </w:tcMar>
            <w:vAlign w:val="center"/>
          </w:tcPr>
          <w:p w:rsidR="008629FA" w:rsidRDefault="008629FA" w:rsidP="008629FA">
            <w:r>
              <w:rPr>
                <w:rFonts w:ascii="Times New Roman" w:hAnsi="Times New Roman"/>
                <w:color w:val="000000"/>
                <w:sz w:val="24"/>
              </w:rPr>
              <w:t>8</w:t>
            </w:r>
          </w:p>
        </w:tc>
        <w:tc>
          <w:tcPr>
            <w:tcW w:w="2356" w:type="dxa"/>
            <w:tcMar>
              <w:top w:w="50" w:type="dxa"/>
              <w:left w:w="100" w:type="dxa"/>
            </w:tcMar>
            <w:vAlign w:val="center"/>
          </w:tcPr>
          <w:p w:rsidR="008629FA" w:rsidRDefault="008629FA" w:rsidP="008629FA">
            <w:pPr>
              <w:ind w:left="135"/>
            </w:pPr>
            <w:r>
              <w:rPr>
                <w:rFonts w:ascii="Times New Roman" w:hAnsi="Times New Roman"/>
                <w:color w:val="000000"/>
                <w:sz w:val="24"/>
              </w:rPr>
              <w:t>Повторение, обобщение, систематизация знаний</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18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2 </w:t>
            </w:r>
          </w:p>
        </w:tc>
        <w:tc>
          <w:tcPr>
            <w:tcW w:w="1802" w:type="dxa"/>
            <w:tcMar>
              <w:top w:w="50" w:type="dxa"/>
              <w:left w:w="100" w:type="dxa"/>
            </w:tcMar>
            <w:vAlign w:val="center"/>
          </w:tcPr>
          <w:p w:rsidR="008629FA" w:rsidRDefault="008629FA" w:rsidP="008629FA">
            <w:pPr>
              <w:ind w:left="135"/>
              <w:jc w:val="center"/>
            </w:pPr>
          </w:p>
        </w:tc>
        <w:tc>
          <w:tcPr>
            <w:tcW w:w="2188" w:type="dxa"/>
            <w:tcMar>
              <w:top w:w="50" w:type="dxa"/>
              <w:left w:w="100" w:type="dxa"/>
            </w:tcMar>
            <w:vAlign w:val="center"/>
          </w:tcPr>
          <w:p w:rsidR="008629FA" w:rsidRDefault="008629FA" w:rsidP="008629FA">
            <w:pPr>
              <w:ind w:left="135"/>
            </w:pPr>
            <w:r w:rsidRPr="008629FA">
              <w:t>https://urok.apkpro.ru/</w:t>
            </w:r>
          </w:p>
        </w:tc>
      </w:tr>
      <w:tr w:rsidR="008629FA" w:rsidTr="008629FA">
        <w:trPr>
          <w:trHeight w:val="144"/>
          <w:tblCellSpacing w:w="20" w:type="nil"/>
        </w:trPr>
        <w:tc>
          <w:tcPr>
            <w:tcW w:w="0" w:type="auto"/>
            <w:gridSpan w:val="2"/>
            <w:tcMar>
              <w:top w:w="50" w:type="dxa"/>
              <w:left w:w="100" w:type="dxa"/>
            </w:tcMar>
            <w:vAlign w:val="center"/>
          </w:tcPr>
          <w:p w:rsidR="008629FA" w:rsidRDefault="008629FA" w:rsidP="008629FA">
            <w:pPr>
              <w:ind w:left="135"/>
            </w:pPr>
            <w:r>
              <w:rPr>
                <w:rFonts w:ascii="Times New Roman" w:hAnsi="Times New Roman"/>
                <w:color w:val="000000"/>
                <w:sz w:val="24"/>
              </w:rPr>
              <w:t>ОБЩЕЕ КОЛИЧЕСТВО ЧАСОВ ПО ПРОГРАММЕ</w:t>
            </w:r>
          </w:p>
        </w:tc>
        <w:tc>
          <w:tcPr>
            <w:tcW w:w="899"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102 </w:t>
            </w:r>
          </w:p>
        </w:tc>
        <w:tc>
          <w:tcPr>
            <w:tcW w:w="1737"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6 </w:t>
            </w:r>
          </w:p>
        </w:tc>
        <w:tc>
          <w:tcPr>
            <w:tcW w:w="1802" w:type="dxa"/>
            <w:tcMar>
              <w:top w:w="50" w:type="dxa"/>
              <w:left w:w="100" w:type="dxa"/>
            </w:tcMar>
            <w:vAlign w:val="center"/>
          </w:tcPr>
          <w:p w:rsidR="008629FA" w:rsidRDefault="008629FA" w:rsidP="008629FA">
            <w:pPr>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8629FA" w:rsidRDefault="008629FA" w:rsidP="008629FA"/>
        </w:tc>
      </w:tr>
    </w:tbl>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p w:rsidR="00593E11" w:rsidRDefault="00593E11" w:rsidP="00593E11">
      <w:pPr>
        <w:sectPr w:rsidR="00593E11" w:rsidSect="00593E11">
          <w:type w:val="continuous"/>
          <w:pgSz w:w="11906" w:h="16383"/>
          <w:pgMar w:top="850" w:right="1134" w:bottom="1701" w:left="1134" w:header="720" w:footer="720" w:gutter="0"/>
          <w:cols w:space="720"/>
          <w:docGrid w:linePitch="299"/>
        </w:sectPr>
      </w:pPr>
    </w:p>
    <w:bookmarkEnd w:id="1"/>
    <w:p w:rsidR="00067304" w:rsidRPr="00830BFC" w:rsidRDefault="00067304" w:rsidP="00830BFC">
      <w:pPr>
        <w:contextualSpacing/>
        <w:rPr>
          <w:rFonts w:cstheme="minorHAnsi"/>
          <w:sz w:val="28"/>
          <w:szCs w:val="28"/>
        </w:rPr>
      </w:pPr>
    </w:p>
    <w:sectPr w:rsidR="00067304" w:rsidRPr="00830BFC" w:rsidSect="00593E11">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BD9" w:rsidRDefault="00094BD9" w:rsidP="00830BFC">
      <w:r>
        <w:separator/>
      </w:r>
    </w:p>
  </w:endnote>
  <w:endnote w:type="continuationSeparator" w:id="0">
    <w:p w:rsidR="00094BD9" w:rsidRDefault="00094BD9" w:rsidP="0083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BD9" w:rsidRDefault="00094BD9" w:rsidP="00830BFC">
      <w:r>
        <w:separator/>
      </w:r>
    </w:p>
  </w:footnote>
  <w:footnote w:type="continuationSeparator" w:id="0">
    <w:p w:rsidR="00094BD9" w:rsidRDefault="00094BD9" w:rsidP="00830BFC">
      <w:r>
        <w:continuationSeparator/>
      </w:r>
    </w:p>
  </w:footnote>
  <w:footnote w:id="1">
    <w:p w:rsidR="00826F96" w:rsidRPr="007A40BE" w:rsidRDefault="00826F96" w:rsidP="00826F96">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1C1"/>
    <w:rsid w:val="0003092B"/>
    <w:rsid w:val="00067304"/>
    <w:rsid w:val="00094BD9"/>
    <w:rsid w:val="002C7121"/>
    <w:rsid w:val="003D61C1"/>
    <w:rsid w:val="004742D1"/>
    <w:rsid w:val="00593E11"/>
    <w:rsid w:val="0059420F"/>
    <w:rsid w:val="006A6760"/>
    <w:rsid w:val="007A40BE"/>
    <w:rsid w:val="00826F96"/>
    <w:rsid w:val="00830BFC"/>
    <w:rsid w:val="008629FA"/>
    <w:rsid w:val="008E23F8"/>
    <w:rsid w:val="009D3358"/>
    <w:rsid w:val="00A3708B"/>
    <w:rsid w:val="00AA3BE7"/>
    <w:rsid w:val="00C54039"/>
    <w:rsid w:val="00DD5E89"/>
    <w:rsid w:val="00FD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4DBB68-0076-4BE1-8776-26C8C2A0C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1C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830BFC"/>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830BFC"/>
    <w:rPr>
      <w:rFonts w:ascii="Calibri" w:eastAsia="Calibri" w:hAnsi="Calibri" w:cs="Times New Roman"/>
      <w:sz w:val="20"/>
      <w:szCs w:val="20"/>
      <w:lang w:val="x-none"/>
    </w:rPr>
  </w:style>
  <w:style w:type="character" w:styleId="a9">
    <w:name w:val="footnote reference"/>
    <w:uiPriority w:val="99"/>
    <w:unhideWhenUsed/>
    <w:rsid w:val="00830BFC"/>
    <w:rPr>
      <w:vertAlign w:val="superscript"/>
    </w:rPr>
  </w:style>
  <w:style w:type="character" w:customStyle="1" w:styleId="21">
    <w:name w:val="Основной текст (2)_"/>
    <w:basedOn w:val="a0"/>
    <w:link w:val="22"/>
    <w:rsid w:val="002C71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C7121"/>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rsr-olymp.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pedsov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edsove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pi.ru/" TargetMode="External"/><Relationship Id="rId5" Type="http://schemas.openxmlformats.org/officeDocument/2006/relationships/footnotes" Target="footnotes.xml"/><Relationship Id="rId15" Type="http://schemas.openxmlformats.org/officeDocument/2006/relationships/hyperlink" Target="https://fipi.ru/" TargetMode="External"/><Relationship Id="rId10"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27</Pages>
  <Words>9233</Words>
  <Characters>52629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14</cp:revision>
  <dcterms:created xsi:type="dcterms:W3CDTF">2023-10-10T00:41:00Z</dcterms:created>
  <dcterms:modified xsi:type="dcterms:W3CDTF">2024-02-01T08:47:00Z</dcterms:modified>
</cp:coreProperties>
</file>